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hronicles-5"/>
    <w:p>
      <w:pPr>
        <w:pStyle w:val="Heading1"/>
      </w:pPr>
      <w:r>
        <w:t xml:space="preserve">Homiletics Analysis: 1 Chronicles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Chronicles 5 covers three Transjordanian tribes: Reuben (vv. 1–10), Gad (vv. 11–17), and the half-tribe of Manasseh (vv. 23–24), with a shared military account of all three tribes together (vv. 18–22) and a closing explanation of their eventual exile (vv. 25–26). The chapter opens with an extended editorial note explaining Reuben’s displacement from the birthright — his sexual sin forfeited the firstborn’s double portion, which passed to Joseph, while Judah received the preeminent ruler (v. 2), pointing forward to David and ultimately to Christ. Each tribal section includes genealogical data, geographic settlement, and a note on their military activity and territorial reach. The pivotal internal narrative is the war account of verses 18–22: the three tribes, armed and skilled in battle, cry out to God during combat, trust in Him, and are granted a decisive victory against the Hagrites and their allies. God is explicitly credited as the cause of the victory. The chapter closes with a stark reversal: these same tribes, after their victory, unfaithfully prostituted themselves to the gods of the peoples of the land and were consequently taken into exile by the Assyrians — a captivity described as the LORD’s own doing in response to their unfaithfulness.</w:t>
      </w:r>
    </w:p>
    <w:p>
      <w:pPr>
        <w:pStyle w:val="BodyText"/>
      </w:pPr>
      <w:r>
        <w:rPr>
          <w:b/>
          <w:bCs/>
        </w:rPr>
        <w:t xml:space="preserve">This Text — Intent:</w:t>
      </w:r>
    </w:p>
    <w:p>
      <w:pPr>
        <w:pStyle w:val="BodyText"/>
      </w:pPr>
      <w:r>
        <w:t xml:space="preserve">God is using this chapter to press a single, sobering truth: divine privilege and even divine-granted military success provide no security apart from ongoing covenant faithfulness. The chapter is structured as a before-and-after that indicts presumption. The Transjordanian tribes experienced extraordinary blessing — strong numbers, vast territory, answered prayer, miraculous victory — and then fell into precisely the idolatry they had displaced from the land. God intends this account to arrest the assumption that past grace functions as a permanent buffer against the consequences of unfaithfulness. For the original post-exilic audience of Chronicles, who had themselves returned from exile, this was urgent: the same pattern that destroyed these tribes is still operative, and the same God who granted victory and enacted exile is still sovereign. The reader is being called to examine the disposition behind their religious activity, not merely its external form.</w:t>
      </w:r>
    </w:p>
    <w:p>
      <w:r>
        <w:pict>
          <v:rect style="width:0;height:1.5pt" o:hralign="center" o:hrstd="t" o:hr="t"/>
        </w:pict>
      </w:r>
    </w:p>
    <w:p>
      <w:pPr>
        <w:pStyle w:val="FirstParagraph"/>
      </w:pPr>
      <w:r>
        <w:rPr>
          <w:b/>
          <w:bCs/>
        </w:rPr>
        <w:t xml:space="preserve">Subject Sentence:</w:t>
      </w:r>
      <w:r>
        <w:t xml:space="preserve"> </w:t>
      </w:r>
      <w:r>
        <w:t xml:space="preserve">Covenant privilege without covenant faithfulness ends in exile, not inheritance.</w:t>
      </w:r>
    </w:p>
    <w:p>
      <w:r>
        <w:pict>
          <v:rect style="width:0;height:1.5pt" o:hralign="center" o:hrstd="t" o:hr="t"/>
        </w:pict>
      </w:r>
    </w:p>
    <w:p>
      <w:pPr>
        <w:pStyle w:val="FirstParagraph"/>
      </w:pPr>
      <w:r>
        <w:rPr>
          <w:b/>
          <w:bCs/>
        </w:rPr>
        <w:t xml:space="preserve">Primary Claim:</w:t>
      </w:r>
      <w:r>
        <w:t xml:space="preserve"> </w:t>
      </w:r>
      <w:r>
        <w:t xml:space="preserve">God is warning His people that received grace — whether birthright, answered prayer, or military victory — creates no immunity to the consequences of spiritual unfaithfulness; the same God who grants victory brings exile when His people abandon Him for idols.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editorial note on Reuben’s birthright (vv. 1–2):</w:t>
      </w:r>
      <w:r>
        <w:t xml:space="preserve"> </w:t>
      </w:r>
      <w:r>
        <w:t xml:space="preserve">The Chronicler’s parenthetical remark that the birthright passed to Joseph (through Ephraim and Manasseh) while Judah received the</w:t>
      </w:r>
      <w:r>
        <w:t xml:space="preserve"> </w:t>
      </w:r>
      <w:r>
        <w:t xml:space="preserve">“ruler”</w:t>
      </w:r>
      <w:r>
        <w:t xml:space="preserve"> </w:t>
      </w:r>
      <w:r>
        <w:t xml:space="preserve">deserves careful attention. Some readers flatten this into a genealogical footnote, but the Chronicler is doing theological work. He is explaining why Reuben’s line does not produce the king despite being firstborn — and the reason is moral failure (Genesis 35:22; 49:3–4). The distinction between the birthright (economic/numerical double portion) going to Joseph’s sons and the ruler’s scepter going to Judah is precise and intentional, and already in verse 2 the reader is being pointed toward David and the Davidic covenant. Dispensational readers sometimes read the</w:t>
      </w:r>
      <w:r>
        <w:t xml:space="preserve"> </w:t>
      </w:r>
      <w:r>
        <w:t xml:space="preserve">“ruler”</w:t>
      </w:r>
      <w:r>
        <w:t xml:space="preserve"> </w:t>
      </w:r>
      <w:r>
        <w:t xml:space="preserve">language narrowly as referring only to David; Reformed readers see this as a Christological pointer through the Davidic line, and the canonical weight of the Chronicler’s project (centering on David and the temple) supports the broader reading without overreading the specific verse.</w:t>
      </w:r>
    </w:p>
    <w:p>
      <w:pPr>
        <w:pStyle w:val="BodyText"/>
      </w:pPr>
      <w:r>
        <w:rPr>
          <w:b/>
          <w:bCs/>
        </w:rPr>
        <w:t xml:space="preserve">The war account and prayer (vv. 18–22):</w:t>
      </w:r>
      <w:r>
        <w:t xml:space="preserve"> </w:t>
      </w:r>
      <w:r>
        <w:t xml:space="preserve">Wesleyan and Arminian readings may emphasize the human dimension here — the tribes were skilled fighters who also prayed, suggesting a partnership model in which human effort and divine response combine proportionally. The text does support human agency: these are real warriors with real military skill. However, verse 22 is unambiguous —</w:t>
      </w:r>
      <w:r>
        <w:t xml:space="preserve"> </w:t>
      </w:r>
      <w:r>
        <w:t xml:space="preserve">“for many fell slain, because the war was of God.”</w:t>
      </w:r>
      <w:r>
        <w:t xml:space="preserve"> </w:t>
      </w:r>
      <w:r>
        <w:t xml:space="preserve">The battle was won because God fought it, not because the tribes were sufficiently skilled or sufficiently devout. The Reformed reading appropriately maintains both: genuine human agency and absolute divine sovereignty in the outcome, without making the prayer a mechanism that activates God into acting. The tribes prayed; God decided; God won. This is not partnership — it is dependence.</w:t>
      </w:r>
    </w:p>
    <w:p>
      <w:pPr>
        <w:pStyle w:val="BodyText"/>
      </w:pPr>
      <w:r>
        <w:rPr>
          <w:b/>
          <w:bCs/>
        </w:rPr>
        <w:t xml:space="preserve">The exile as divine judgment (vv. 25–26):</w:t>
      </w:r>
      <w:r>
        <w:t xml:space="preserve"> </w:t>
      </w:r>
      <w:r>
        <w:t xml:space="preserve">Some readers, particularly those with a more therapeutic or prosperity-influenced hermeneutic, soften the closing verses into a cautionary tale about consequences —</w:t>
      </w:r>
      <w:r>
        <w:t xml:space="preserve"> </w:t>
      </w:r>
      <w:r>
        <w:t xml:space="preserve">“they made poor choices and suffered for it.”</w:t>
      </w:r>
      <w:r>
        <w:t xml:space="preserve"> </w:t>
      </w:r>
      <w:r>
        <w:t xml:space="preserve">But the text is explicit:</w:t>
      </w:r>
      <w:r>
        <w:t xml:space="preserve"> </w:t>
      </w:r>
      <w:r>
        <w:t xml:space="preserve">“the God of Israel stirred up the spirit of Pul king of Assyria.”</w:t>
      </w:r>
      <w:r>
        <w:t xml:space="preserve"> </w:t>
      </w:r>
      <w:r>
        <w:t xml:space="preserve">God is the primary agent of the exile, not merely its permissive bystander. The Chronicler’s audience — returned exiles — needed to hear this without mitigation: their ancestors were not simply the victims of Assyrian aggression. God sent Assyria. The Lutheran Law/Gospel framework handles this well at one level, but can occasionally mute the severity of God’s active judgment in favor of a more redemptive arc. The Reformed reading holds the severity fully — not because God is harsh, but because covenant unfaithfulness to a covenant God has covenant consequences, and the text refuses to soften this.</w:t>
      </w:r>
    </w:p>
    <w:p>
      <w:pPr>
        <w:pStyle w:val="BodyText"/>
      </w:pPr>
      <w:r>
        <w:rPr>
          <w:b/>
          <w:bCs/>
        </w:rPr>
        <w:t xml:space="preserve">No significant decontextualization issues</w:t>
      </w:r>
      <w:r>
        <w:t xml:space="preserve"> </w:t>
      </w:r>
      <w:r>
        <w:t xml:space="preserve">exist with this chapter, as it is not a source of frequently-extracted proof texts.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35:22; 49:3–4</w:t>
      </w:r>
      <w:r>
        <w:t xml:space="preserve"> </w:t>
      </w:r>
      <w:r>
        <w:t xml:space="preserve">— Jacob strips Reuben of his preeminence due to his sin with Bilhah, establishing the principle that moral failure forfeits covenant privilege; the Chronicler’s editorial note in verse 1 directly applies this verdict.</w:t>
      </w:r>
    </w:p>
    <w:p>
      <w:pPr>
        <w:numPr>
          <w:ilvl w:val="0"/>
          <w:numId w:val="1001"/>
        </w:numPr>
      </w:pPr>
      <w:r>
        <w:rPr>
          <w:b/>
          <w:bCs/>
        </w:rPr>
        <w:t xml:space="preserve">Numbers 32:1–33</w:t>
      </w:r>
      <w:r>
        <w:t xml:space="preserve"> </w:t>
      </w:r>
      <w:r>
        <w:t xml:space="preserve">— The original settlement of the Transjordanian tribes, showing that their territorial inheritance was itself a concession and a negotiated arrangement, not the full inheritance of the land; this background deepens the tragedy of their eventual exile.</w:t>
      </w:r>
    </w:p>
    <w:p>
      <w:pPr>
        <w:numPr>
          <w:ilvl w:val="0"/>
          <w:numId w:val="1001"/>
        </w:numPr>
      </w:pPr>
      <w:r>
        <w:rPr>
          <w:b/>
          <w:bCs/>
        </w:rPr>
        <w:t xml:space="preserve">Deuteronomy 28:15–68</w:t>
      </w:r>
      <w:r>
        <w:t xml:space="preserve"> </w:t>
      </w:r>
      <w:r>
        <w:t xml:space="preserve">— The covenant curse structure that underlies the entire exile narrative in Chronicles; exile is the specific covenant consequence for idolatry, making the Chronicler’s closing verses the direct fulfillment of Mosaic warning.</w:t>
      </w:r>
    </w:p>
    <w:p>
      <w:pPr>
        <w:numPr>
          <w:ilvl w:val="0"/>
          <w:numId w:val="1001"/>
        </w:numPr>
      </w:pPr>
      <w:r>
        <w:rPr>
          <w:b/>
          <w:bCs/>
        </w:rPr>
        <w:t xml:space="preserve">2 Kings 15:29; 17:6–23</w:t>
      </w:r>
      <w:r>
        <w:t xml:space="preserve"> </w:t>
      </w:r>
      <w:r>
        <w:t xml:space="preserve">— The historical account of the Assyrian exile to which Chronicles 5:26 refers; 2 Kings 17 explicitly interprets the exile as divine judgment for idolatry, corroborating the Chronicler’s theological verdict on the Transjordanian tribes.</w:t>
      </w:r>
    </w:p>
    <w:p>
      <w:pPr>
        <w:numPr>
          <w:ilvl w:val="0"/>
          <w:numId w:val="1001"/>
        </w:numPr>
      </w:pPr>
      <w:r>
        <w:rPr>
          <w:b/>
          <w:bCs/>
        </w:rPr>
        <w:t xml:space="preserve">Hebrews 12:16–17</w:t>
      </w:r>
      <w:r>
        <w:t xml:space="preserve"> </w:t>
      </w:r>
      <w:r>
        <w:t xml:space="preserve">— Esau as the canonical type of one who despises his birthright for immediate gratification; the Reuben narrative belongs to the same canonical category — those who begin with privilege and forfeit it through moral and spiritual carelessness.</w:t>
      </w:r>
    </w:p>
    <w:p>
      <w:r>
        <w:pict>
          <v:rect style="width:0;height:1.5pt" o:hralign="center" o:hrstd="t" o:hr="t"/>
        </w:pict>
      </w:r>
    </w:p>
    <w:p>
      <w:pPr>
        <w:pStyle w:val="FirstParagraph"/>
      </w:pPr>
      <w:r>
        <w:rPr>
          <w:b/>
          <w:bCs/>
        </w:rPr>
        <w:t xml:space="preserve">Aim:</w:t>
      </w:r>
      <w:r>
        <w:t xml:space="preserve"> </w:t>
      </w:r>
      <w:r>
        <w:t xml:space="preserve">To expose the presumption of spiritual security built on past grace rather than present faithfulness, and to call the reader to the kind of covenant trust that cries out to God rather than drifting toward the gods of surrounding culture.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Reuben’s genealogical introduction with editorial explanation: birthright forfeited due to sexual sin; passes to Joseph’s sons; Judah produces the ruler</w:t>
            </w:r>
          </w:p>
        </w:tc>
        <w:tc>
          <w:tcPr/>
          <w:p>
            <w:pPr>
              <w:pStyle w:val="Compact"/>
            </w:pPr>
            <w:r>
              <w:t xml:space="preserve">The Chronicler pauses genealogy to provide moral commentary — an unusual editorial insertion establishing a theological framework for the entire chapter</w:t>
            </w:r>
          </w:p>
        </w:tc>
      </w:tr>
      <w:tr>
        <w:tc>
          <w:tcPr/>
          <w:p>
            <w:pPr>
              <w:pStyle w:val="Compact"/>
            </w:pPr>
            <w:r>
              <w:t xml:space="preserve">3–8</w:t>
            </w:r>
          </w:p>
        </w:tc>
        <w:tc>
          <w:tcPr/>
          <w:p>
            <w:pPr>
              <w:pStyle w:val="Compact"/>
            </w:pPr>
            <w:r>
              <w:t xml:space="preserve">Reuben’s sons and their descendants; geographic note that they settled from Aroer to Nebo and eastward to the Euphrates; note on Beerah, a leader carried into exile by Tiglath-pileser</w:t>
            </w:r>
          </w:p>
        </w:tc>
        <w:tc>
          <w:tcPr/>
          <w:p>
            <w:pPr>
              <w:pStyle w:val="Compact"/>
            </w:pPr>
            <w:r>
              <w:t xml:space="preserve">Beerah’s exile is noted here, anticipating the chapter’s closing theme; the geographic extent signals a once-flourishing people</w:t>
            </w:r>
          </w:p>
        </w:tc>
      </w:tr>
      <w:tr>
        <w:tc>
          <w:tcPr/>
          <w:p>
            <w:pPr>
              <w:pStyle w:val="Compact"/>
            </w:pPr>
            <w:r>
              <w:t xml:space="preserve">9–10</w:t>
            </w:r>
          </w:p>
        </w:tc>
        <w:tc>
          <w:tcPr/>
          <w:p>
            <w:pPr>
              <w:pStyle w:val="Compact"/>
            </w:pPr>
            <w:r>
              <w:t xml:space="preserve">Reuben’s expansion eastward; note that they waged war against the Hagrites in Saul’s time and settled in their tents</w:t>
            </w:r>
          </w:p>
        </w:tc>
        <w:tc>
          <w:tcPr/>
          <w:p>
            <w:pPr>
              <w:pStyle w:val="Compact"/>
            </w:pPr>
            <w:r>
              <w:t xml:space="preserve">Sets up the military theme developed later; Hagrites appear again in vv. 18–22</w:t>
            </w:r>
          </w:p>
        </w:tc>
      </w:tr>
      <w:tr>
        <w:tc>
          <w:tcPr/>
          <w:p>
            <w:pPr>
              <w:pStyle w:val="Compact"/>
            </w:pPr>
            <w:r>
              <w:t xml:space="preserve">11–17</w:t>
            </w:r>
          </w:p>
        </w:tc>
        <w:tc>
          <w:tcPr/>
          <w:p>
            <w:pPr>
              <w:pStyle w:val="Compact"/>
            </w:pPr>
            <w:r>
              <w:t xml:space="preserve">Gad’s genealogy and territorial settlement, east of Bashan; genealogical records traced to the time of Jotham and Jeroboam</w:t>
            </w:r>
          </w:p>
        </w:tc>
        <w:tc>
          <w:tcPr/>
          <w:p>
            <w:pPr>
              <w:pStyle w:val="Compact"/>
            </w:pPr>
            <w:r>
              <w:t xml:space="preserve">Brief, comparatively undeveloped; Gad’s section lacks the same narrative elaboration</w:t>
            </w:r>
          </w:p>
        </w:tc>
      </w:tr>
      <w:tr>
        <w:tc>
          <w:tcPr/>
          <w:p>
            <w:pPr>
              <w:pStyle w:val="Compact"/>
            </w:pPr>
            <w:r>
              <w:t xml:space="preserve">18–20</w:t>
            </w:r>
          </w:p>
        </w:tc>
        <w:tc>
          <w:tcPr/>
          <w:p>
            <w:pPr>
              <w:pStyle w:val="Compact"/>
            </w:pPr>
            <w:r>
              <w:t xml:space="preserve">The three tribes — Reuben, Gad, and half-Manasseh — numbered at 44,760 skilled warriors; they wage war against the Hagrites; they cry out to God in the battle and trust Him</w:t>
            </w:r>
          </w:p>
        </w:tc>
        <w:tc>
          <w:tcPr/>
          <w:p>
            <w:pPr>
              <w:pStyle w:val="Compact"/>
            </w:pPr>
            <w:r>
              <w:t xml:space="preserve">The pivot of the chapter; prayer and trust are explicitly named as the cause of divine intervention</w:t>
            </w:r>
          </w:p>
        </w:tc>
      </w:tr>
      <w:tr>
        <w:tc>
          <w:tcPr/>
          <w:p>
            <w:pPr>
              <w:pStyle w:val="Compact"/>
            </w:pPr>
            <w:r>
              <w:t xml:space="preserve">21–22</w:t>
            </w:r>
          </w:p>
        </w:tc>
        <w:tc>
          <w:tcPr/>
          <w:p>
            <w:pPr>
              <w:pStyle w:val="Compact"/>
            </w:pPr>
            <w:r>
              <w:t xml:space="preserve">Victory summary: cattle, camels, donkeys, and sheep taken; 100,000 men killed; the victory attributed explicitly to God —</w:t>
            </w:r>
            <w:r>
              <w:t xml:space="preserve"> </w:t>
            </w:r>
            <w:r>
              <w:t xml:space="preserve">“the war was of God”</w:t>
            </w:r>
          </w:p>
        </w:tc>
        <w:tc>
          <w:tcPr/>
          <w:p>
            <w:pPr>
              <w:pStyle w:val="Compact"/>
            </w:pPr>
            <w:r>
              <w:t xml:space="preserve">“The war was of God”</w:t>
            </w:r>
            <w:r>
              <w:t xml:space="preserve"> </w:t>
            </w:r>
            <w:r>
              <w:t xml:space="preserve">is the theological crux of the military account; this is not incidental language</w:t>
            </w:r>
          </w:p>
        </w:tc>
      </w:tr>
      <w:tr>
        <w:tc>
          <w:tcPr/>
          <w:p>
            <w:pPr>
              <w:pStyle w:val="Compact"/>
            </w:pPr>
            <w:r>
              <w:t xml:space="preserve">23–24</w:t>
            </w:r>
          </w:p>
        </w:tc>
        <w:tc>
          <w:tcPr/>
          <w:p>
            <w:pPr>
              <w:pStyle w:val="Compact"/>
            </w:pPr>
            <w:r>
              <w:t xml:space="preserve">Half-tribe of Manasseh’s territory described; chiefs named, described as</w:t>
            </w:r>
            <w:r>
              <w:t xml:space="preserve"> </w:t>
            </w:r>
            <w:r>
              <w:t xml:space="preserve">“mighty warriors, famous men”</w:t>
            </w:r>
          </w:p>
        </w:tc>
        <w:tc>
          <w:tcPr/>
          <w:p>
            <w:pPr>
              <w:pStyle w:val="Compact"/>
            </w:pPr>
            <w:r>
              <w:t xml:space="preserve">The description</w:t>
            </w:r>
            <w:r>
              <w:t xml:space="preserve"> </w:t>
            </w:r>
            <w:r>
              <w:t xml:space="preserve">“famous men”</w:t>
            </w:r>
            <w:r>
              <w:t xml:space="preserve"> </w:t>
            </w:r>
            <w:r>
              <w:t xml:space="preserve">creates an ironic contrast with what follows</w:t>
            </w:r>
          </w:p>
        </w:tc>
      </w:tr>
      <w:tr>
        <w:tc>
          <w:tcPr/>
          <w:p>
            <w:pPr>
              <w:pStyle w:val="Compact"/>
            </w:pPr>
            <w:r>
              <w:t xml:space="preserve">25–26</w:t>
            </w:r>
          </w:p>
        </w:tc>
        <w:tc>
          <w:tcPr/>
          <w:p>
            <w:pPr>
              <w:pStyle w:val="Compact"/>
            </w:pPr>
            <w:r>
              <w:t xml:space="preserve">The unfaithfulness summary: they prostituted themselves to the gods of the peoples of the land; God stirred up Assyria to exile them</w:t>
            </w:r>
          </w:p>
        </w:tc>
        <w:tc>
          <w:tcPr/>
          <w:p>
            <w:pPr>
              <w:pStyle w:val="Compact"/>
            </w:pPr>
            <w:r>
              <w:t xml:space="preserve">The active divine agency in judgment is stated unambiguously; the chapter closes on exile, not victory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Reuben’s Forfeited Birthright: Sin Has Genealogical Consequences</w:t>
            </w:r>
          </w:p>
        </w:tc>
      </w:tr>
      <w:tr>
        <w:tc>
          <w:tcPr/>
          <w:p>
            <w:pPr>
              <w:pStyle w:val="Compact"/>
            </w:pPr>
            <w:r>
              <w:t xml:space="preserve">2</w:t>
            </w:r>
          </w:p>
        </w:tc>
        <w:tc>
          <w:tcPr/>
          <w:p>
            <w:pPr>
              <w:pStyle w:val="Compact"/>
            </w:pPr>
            <w:r>
              <w:t xml:space="preserve">3–10</w:t>
            </w:r>
          </w:p>
        </w:tc>
        <w:tc>
          <w:tcPr/>
          <w:p>
            <w:pPr>
              <w:pStyle w:val="Compact"/>
            </w:pPr>
            <w:r>
              <w:t xml:space="preserve">Reuben’s Line: A Flourishing Tribe with an Exile Already in View</w:t>
            </w:r>
          </w:p>
        </w:tc>
      </w:tr>
      <w:tr>
        <w:tc>
          <w:tcPr/>
          <w:p>
            <w:pPr>
              <w:pStyle w:val="Compact"/>
            </w:pPr>
            <w:r>
              <w:t xml:space="preserve">3</w:t>
            </w:r>
          </w:p>
        </w:tc>
        <w:tc>
          <w:tcPr/>
          <w:p>
            <w:pPr>
              <w:pStyle w:val="Compact"/>
            </w:pPr>
            <w:r>
              <w:t xml:space="preserve">11–17</w:t>
            </w:r>
          </w:p>
        </w:tc>
        <w:tc>
          <w:tcPr/>
          <w:p>
            <w:pPr>
              <w:pStyle w:val="Compact"/>
            </w:pPr>
            <w:r>
              <w:t xml:space="preserve">Gad’s Line: Settled Territory, Recorded Names</w:t>
            </w:r>
          </w:p>
        </w:tc>
      </w:tr>
      <w:tr>
        <w:tc>
          <w:tcPr/>
          <w:p>
            <w:pPr>
              <w:pStyle w:val="Compact"/>
            </w:pPr>
            <w:r>
              <w:t xml:space="preserve">4</w:t>
            </w:r>
          </w:p>
        </w:tc>
        <w:tc>
          <w:tcPr/>
          <w:p>
            <w:pPr>
              <w:pStyle w:val="Compact"/>
            </w:pPr>
            <w:r>
              <w:t xml:space="preserve">18–22</w:t>
            </w:r>
          </w:p>
        </w:tc>
        <w:tc>
          <w:tcPr/>
          <w:p>
            <w:pPr>
              <w:pStyle w:val="Compact"/>
            </w:pPr>
            <w:r>
              <w:t xml:space="preserve">The War of God: Victory Given to Those Who Cry Out in Trust</w:t>
            </w:r>
          </w:p>
        </w:tc>
      </w:tr>
      <w:tr>
        <w:tc>
          <w:tcPr/>
          <w:p>
            <w:pPr>
              <w:pStyle w:val="Compact"/>
            </w:pPr>
            <w:r>
              <w:t xml:space="preserve">5</w:t>
            </w:r>
          </w:p>
        </w:tc>
        <w:tc>
          <w:tcPr/>
          <w:p>
            <w:pPr>
              <w:pStyle w:val="Compact"/>
            </w:pPr>
            <w:r>
              <w:t xml:space="preserve">23–24</w:t>
            </w:r>
          </w:p>
        </w:tc>
        <w:tc>
          <w:tcPr/>
          <w:p>
            <w:pPr>
              <w:pStyle w:val="Compact"/>
            </w:pPr>
            <w:r>
              <w:t xml:space="preserve">Half-Manasseh: Mighty Warriors, Famous Men</w:t>
            </w:r>
          </w:p>
        </w:tc>
      </w:tr>
      <w:tr>
        <w:tc>
          <w:tcPr/>
          <w:p>
            <w:pPr>
              <w:pStyle w:val="Compact"/>
            </w:pPr>
            <w:r>
              <w:t xml:space="preserve">6</w:t>
            </w:r>
          </w:p>
        </w:tc>
        <w:tc>
          <w:tcPr/>
          <w:p>
            <w:pPr>
              <w:pStyle w:val="Compact"/>
            </w:pPr>
            <w:r>
              <w:t xml:space="preserve">25–26</w:t>
            </w:r>
          </w:p>
        </w:tc>
        <w:tc>
          <w:tcPr/>
          <w:p>
            <w:pPr>
              <w:pStyle w:val="Compact"/>
            </w:pPr>
            <w:r>
              <w:t xml:space="preserve">The Great Reversal: Unfaithfulness, Idolatry, and God-Sent Exile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Covenant privilege without covenant faithfulness ends in exile, not inheritance.</w:t>
      </w:r>
    </w:p>
    <w:p>
      <w:pPr>
        <w:pStyle w:val="BodyText"/>
      </w:pPr>
      <w:r>
        <w:rPr>
          <w:b/>
          <w:bCs/>
        </w:rPr>
        <w:t xml:space="preserve">Primary Claim:</w:t>
      </w:r>
      <w:r>
        <w:t xml:space="preserve"> </w:t>
      </w:r>
      <w:r>
        <w:t xml:space="preserve">God is warning His people that received grace — whether birthright, answered prayer, or military victory — creates no immunity to the consequences of spiritual unfaithfulness; the same God who grants victory brings exile when His people abandon Him for idols.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Reexamine what you are trusting as your spiritual security</w:t>
      </w:r>
      <w:r>
        <w:t xml:space="preserve"> </w:t>
      </w:r>
      <w:r>
        <w:rPr>
          <w:i/>
          <w:iCs/>
        </w:rPr>
        <w:t xml:space="preserve">(Mind/belief)</w:t>
      </w:r>
      <w:r>
        <w:t xml:space="preserve"> </w:t>
      </w:r>
      <w:r>
        <w:t xml:space="preserve">The Transjordanian tribes had genuine divine blessings: a valid inheritance, answered prayer, and a battle won by God Himself. None of it functioned as a permanent buffer. The reader who is relying on a past conversion experience, a season of answered prayer, or a period of faithful church involvement as evidence of current standing before God is reading this chapter and being directly addressed. Past grace is real. Past grace is not a substitute for present faithfulness. The question this passage puts to you is not</w:t>
      </w:r>
      <w:r>
        <w:t xml:space="preserve"> </w:t>
      </w:r>
      <w:r>
        <w:t xml:space="preserve">“have I ever experienced God’s blessing?”</w:t>
      </w:r>
      <w:r>
        <w:t xml:space="preserve"> </w:t>
      </w:r>
      <w:r>
        <w:t xml:space="preserve">but</w:t>
      </w:r>
      <w:r>
        <w:t xml:space="preserve"> </w:t>
      </w:r>
      <w:r>
        <w:t xml:space="preserve">“where is my trust directed right now?”</w:t>
      </w:r>
    </w:p>
    <w:p>
      <w:pPr>
        <w:pStyle w:val="BodyText"/>
      </w:pPr>
      <w:r>
        <w:rPr>
          <w:b/>
          <w:bCs/>
        </w:rPr>
        <w:t xml:space="preserve">2. Identify the gods of the surrounding peoples you have begun to approach</w:t>
      </w:r>
      <w:r>
        <w:t xml:space="preserve"> </w:t>
      </w:r>
      <w:r>
        <w:rPr>
          <w:i/>
          <w:iCs/>
        </w:rPr>
        <w:t xml:space="preserve">(Affections/worship)</w:t>
      </w:r>
      <w:r>
        <w:t xml:space="preserve"> </w:t>
      </w:r>
      <w:r>
        <w:t xml:space="preserve">The text says these tribes</w:t>
      </w:r>
      <w:r>
        <w:t xml:space="preserve"> </w:t>
      </w:r>
      <w:r>
        <w:t xml:space="preserve">“whored after the gods of the peoples of the land”</w:t>
      </w:r>
      <w:r>
        <w:t xml:space="preserve"> </w:t>
      </w:r>
      <w:r>
        <w:t xml:space="preserve">— the language of adultery, not of curiosity or dabbling. The idolatry that destroyed them did not arrive suddenly; it arrived through proximity, familiarity, and the gradual substitution of surrounding cultural gods for the covenant LORD. Every generation has its version of the Hagrites’ gods — sources of security, identity, comfort, and meaning that are not God. The question is not whether you formally bow to them but whether your heart is drawn toward them in the moments when God feels distant or insufficient. What are the gods of</w:t>
      </w:r>
      <w:r>
        <w:t xml:space="preserve"> </w:t>
      </w:r>
      <w:r>
        <w:rPr>
          <w:i/>
          <w:iCs/>
        </w:rPr>
        <w:t xml:space="preserve">your</w:t>
      </w:r>
      <w:r>
        <w:t xml:space="preserve"> </w:t>
      </w:r>
      <w:r>
        <w:t xml:space="preserve">surrounding peoples, and in what direction does your desire lean?</w:t>
      </w:r>
    </w:p>
    <w:p>
      <w:pPr>
        <w:pStyle w:val="BodyText"/>
      </w:pPr>
      <w:r>
        <w:rPr>
          <w:b/>
          <w:bCs/>
        </w:rPr>
        <w:t xml:space="preserve">3. Pray the way these tribes prayed in battle — which means pray as though the outcome actually depends on God</w:t>
      </w:r>
      <w:r>
        <w:t xml:space="preserve"> </w:t>
      </w:r>
      <w:r>
        <w:rPr>
          <w:i/>
          <w:iCs/>
        </w:rPr>
        <w:t xml:space="preserve">(Will/behavior)</w:t>
      </w:r>
      <w:r>
        <w:t xml:space="preserve"> </w:t>
      </w:r>
      <w:r>
        <w:t xml:space="preserve">The war account in verses 18–22 is not a model of balanced human-divine partnership. The tribes did not pray and then trust their military skill. They prayed and trusted God — and the text says explicitly that the war was God’s. This is not a passive quietism; they fought. But the disposition behind the fighting was dependence, not confidence in their own 44,760 warriors. The application is concrete: in whatever battle you are currently in — a struggle with sin, a vocational crisis, a relational rupture, a season of suffering — pray as though God winning is the only viable outcome, because it is.</w:t>
      </w:r>
    </w:p>
    <w:p>
      <w:pPr>
        <w:pStyle w:val="BodyText"/>
      </w:pPr>
      <w:r>
        <w:rPr>
          <w:b/>
          <w:bCs/>
        </w:rPr>
        <w:t xml:space="preserve">4. Let Reuben’s story correct the assumption that gifted people are protected people</w:t>
      </w:r>
      <w:r>
        <w:t xml:space="preserve"> </w:t>
      </w:r>
      <w:r>
        <w:rPr>
          <w:i/>
          <w:iCs/>
        </w:rPr>
        <w:t xml:space="preserve">(Mind/belief)</w:t>
      </w:r>
      <w:r>
        <w:t xml:space="preserve"> </w:t>
      </w:r>
      <w:r>
        <w:t xml:space="preserve">Reuben was firstborn. He had precedence, potential, and patriarchal blessing. He forfeited it through a single act of moral failure, and the Chronicler is at pains to make sure the reader sees the connection between his sin and his tribe’s eventual diminishment. Giftedness, leadership capacity, spiritual heritage, and social prominence provide no moral insulation. The</w:t>
      </w:r>
      <w:r>
        <w:t xml:space="preserve"> </w:t>
      </w:r>
      <w:r>
        <w:t xml:space="preserve">“mighty warriors, famous men”</w:t>
      </w:r>
      <w:r>
        <w:t xml:space="preserve"> </w:t>
      </w:r>
      <w:r>
        <w:t xml:space="preserve">of Manasseh (v. 24) ended in exile. The passage refuses the comforting assumption that the significant, the influential, and the spiritually prominent are exempt from the consequences of unfaithfulness.</w:t>
      </w:r>
    </w:p>
    <w:p>
      <w:pPr>
        <w:pStyle w:val="BodyText"/>
      </w:pPr>
      <w:r>
        <w:rPr>
          <w:b/>
          <w:bCs/>
        </w:rPr>
        <w:t xml:space="preserve">5. Receive the doctrine of God’s active judgment as a mercy, not a threat</w:t>
      </w:r>
      <w:r>
        <w:t xml:space="preserve"> </w:t>
      </w:r>
      <w:r>
        <w:rPr>
          <w:i/>
          <w:iCs/>
        </w:rPr>
        <w:t xml:space="preserve">(Affections/worship)</w:t>
      </w:r>
      <w:r>
        <w:t xml:space="preserve"> </w:t>
      </w:r>
      <w:r>
        <w:t xml:space="preserve">The Chronicler tells his post-exilic audience that God stirred up Assyria to take these tribes into exile. This is not a comfortable statement — but for the returned exiles reading it, it was also a word of profound mercy. If God is passive in history — if exile is merely the natural consequence of poor political decisions — then God is also passive in restoration, and there is no reason to hope. But if God sent Assyria, then God can send Cyrus. The same sovereignty that brought judgment brought return. Let the severity of God’s active governance of history produce not terror but a rightly-ordered fear that keeps you near to Him rather than drifting from Him — because a God who is sovereign in judgment is also sovereign in redemption.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Chronicles 5 teaches that God governs history with an active, sovereign hand — not merely permitting events but directing them toward covenant ends. He is the God who transfers birthrights when sin forfeits them, who hears prayers and turns battles, and who stirs up foreign kings when His people break covenant. The chapter presents no tension between divine sovereignty and human accountability — both are fully operative. The tribes were genuinely unfaithful and are genuinely guilty; God is genuinely the agent of their exile. This is the God of the covenant, whose holiness is not merely an attribute catalogued in theology proper but an active force that shapes the outcome of nations and families. He does not look away from idolatry; He responds to it with the full weight of covenant consequence.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illustrates a distinctively Reformed understanding of grace and perseverance: grace is real, covenant privilege is real, and answered prayer is real — but none of these function automatically or coercively to produce the faithfulness they call for. The Transjordanian tribes are not a Calvinist puzzle (did they ever truly belong to the covenant people?) — they are a warning to covenant people about the seriousness of covenant responsibility. The Chronicler’s project as a whole is written to a post-exilic community that has returned from the very exile these chapters describe, and the theological import is this: the gospel does not produce passive recipients of grace but a people transformed by grace into genuine covenant faithfulness. The fear of the LORD — not presumption on past blessing — is the disposition that characterizes the people of God. Reformed theology does not mitigate the force of this; it grounds it more deeply, because the God who sovereignly saves is the same God who sovereignly governs the consequences of covenant unfaithfulness.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tribes on the east side of the Jordan prayed, trusted God, and won a battle He fought for them — and then drifted toward the gods next door until God sent an empire to move them. The same God who heard their cry in battle is the God who stirred up Assyria. This is not a chapter about ancient military history. It is a direct question to every person who has experienced genuine grace but is currently drifting: what gods of the surrounding peoples have you begun to approach? God is not a permanent buffer you activate through past faithfulness. He is a living covenant Lord who calls you to trust Him now, and whose sovereignty in judgment is the mirror image of His sovereignty in redemption.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genealogies as mere historical filler to get through before the</w:t>
      </w:r>
      <w:r>
        <w:rPr>
          <w:b/>
          <w:bCs/>
        </w:rPr>
        <w:t xml:space="preserve"> </w:t>
      </w:r>
      <w:r>
        <w:rPr>
          <w:b/>
          <w:bCs/>
        </w:rPr>
        <w:t xml:space="preserve">“real”</w:t>
      </w:r>
      <w:r>
        <w:rPr>
          <w:b/>
          <w:bCs/>
        </w:rPr>
        <w:t xml:space="preserve"> </w:t>
      </w:r>
      <w:r>
        <w:rPr>
          <w:b/>
          <w:bCs/>
        </w:rPr>
        <w:t xml:space="preserve">content.</w:t>
      </w:r>
      <w:r>
        <w:t xml:space="preserve"> </w:t>
      </w:r>
      <w:r>
        <w:t xml:space="preserve">The Chronicler is doing theology in every line of genealogical material. The editorial note on Reuben (vv. 1–2) is not a digression — it is the theological key to the chapter. Reuben’s sin, its consequences, the transfer of privilege, the anticipation of the Davidic ruler in verse 2 — none of this is incidental. A preacher who treats the genealogical sections as background noise will miss the chapter’s internal architecture and preach only the war narrative and the exile, severing them from their interpretive context.</w:t>
      </w:r>
    </w:p>
    <w:p>
      <w:pPr>
        <w:numPr>
          <w:ilvl w:val="0"/>
          <w:numId w:val="1002"/>
        </w:numPr>
      </w:pPr>
      <w:r>
        <w:rPr>
          <w:b/>
          <w:bCs/>
        </w:rPr>
        <w:t xml:space="preserve">Preaching the war account (vv. 18–22) as a prayer-and-effort partnership model.</w:t>
      </w:r>
      <w:r>
        <w:t xml:space="preserve"> </w:t>
      </w:r>
      <w:r>
        <w:t xml:space="preserve">The temptation is to preach:</w:t>
      </w:r>
      <w:r>
        <w:t xml:space="preserve"> </w:t>
      </w:r>
      <w:r>
        <w:t xml:space="preserve">“The tribes brought their military skill; they also brought prayer; God blessed the combination.”</w:t>
      </w:r>
      <w:r>
        <w:t xml:space="preserve"> </w:t>
      </w:r>
      <w:r>
        <w:t xml:space="preserve">But this domesticates the text. Verse 22 says the war was of God. The application of this passage is not</w:t>
      </w:r>
      <w:r>
        <w:t xml:space="preserve"> </w:t>
      </w:r>
      <w:r>
        <w:t xml:space="preserve">“try hard and pray”</w:t>
      </w:r>
      <w:r>
        <w:t xml:space="preserve"> </w:t>
      </w:r>
      <w:r>
        <w:t xml:space="preserve">but</w:t>
      </w:r>
      <w:r>
        <w:t xml:space="preserve"> </w:t>
      </w:r>
      <w:r>
        <w:t xml:space="preserve">“depend on God and fight as those who know the outcome is His to determine.”</w:t>
      </w:r>
      <w:r>
        <w:t xml:space="preserve"> </w:t>
      </w:r>
      <w:r>
        <w:t xml:space="preserve">The distinction matters enormously for how people are formed in prayer and in suffering.</w:t>
      </w:r>
    </w:p>
    <w:p>
      <w:pPr>
        <w:numPr>
          <w:ilvl w:val="0"/>
          <w:numId w:val="1002"/>
        </w:numPr>
      </w:pPr>
      <w:r>
        <w:rPr>
          <w:b/>
          <w:bCs/>
        </w:rPr>
        <w:t xml:space="preserve">Softening God’s active role in the exile (v. 26).</w:t>
      </w:r>
      <w:r>
        <w:t xml:space="preserve"> </w:t>
      </w:r>
      <w:r>
        <w:t xml:space="preserve">“God stirred up the spirit of Pul king of Assyria”</w:t>
      </w:r>
      <w:r>
        <w:t xml:space="preserve"> </w:t>
      </w:r>
      <w:r>
        <w:t xml:space="preserve">is an uncomfortable sentence for modern hearers accustomed to a more therapeutic deity. The preaching pitfall is to translate this into passive permission —</w:t>
      </w:r>
      <w:r>
        <w:t xml:space="preserve"> </w:t>
      </w:r>
      <w:r>
        <w:t xml:space="preserve">“God allowed Assyria to come.”</w:t>
      </w:r>
      <w:r>
        <w:t xml:space="preserve"> </w:t>
      </w:r>
      <w:r>
        <w:t xml:space="preserve">But the text does not say that. Muting God’s active judgment agency both misreads the verse and robs the post-exilic theological message of its force. The same God who actively granted victory actively sent exile. Both must be preached with full weight.</w:t>
      </w:r>
    </w:p>
    <w:p>
      <w:pPr>
        <w:numPr>
          <w:ilvl w:val="0"/>
          <w:numId w:val="1002"/>
        </w:numPr>
      </w:pPr>
      <w:r>
        <w:rPr>
          <w:b/>
          <w:bCs/>
        </w:rPr>
        <w:t xml:space="preserve">Applying Reuben’s story morally without applying it canonically.</w:t>
      </w:r>
      <w:r>
        <w:t xml:space="preserve"> </w:t>
      </w:r>
      <w:r>
        <w:t xml:space="preserve">It is easy to preach verse 1 as</w:t>
      </w:r>
      <w:r>
        <w:t xml:space="preserve"> </w:t>
      </w:r>
      <w:r>
        <w:t xml:space="preserve">“sin has consequences”</w:t>
      </w:r>
      <w:r>
        <w:t xml:space="preserve"> </w:t>
      </w:r>
      <w:r>
        <w:t xml:space="preserve">— and it does. But the Chronicler’s specific point is that Reuben’s sin forfeited the birthright and that this forfeiture was part of how the blessing moved toward Judah and toward the Davidic ruler. The moral lesson (sin forfeits blessing) is real, but the canonical lesson (the covenant purposes of God advance through and despite human failure, always toward the promised king) is the deeper word. Preaching only the moral layer produces moralism; preaching the canonical layer produces gospel.</w:t>
      </w:r>
    </w:p>
    <w:p>
      <w:pPr>
        <w:numPr>
          <w:ilvl w:val="0"/>
          <w:numId w:val="1002"/>
        </w:numPr>
      </w:pPr>
      <w:r>
        <w:rPr>
          <w:b/>
          <w:bCs/>
        </w:rPr>
        <w:t xml:space="preserve">Failing to name the specific form idolatry takes for the contemporary audience.</w:t>
      </w:r>
      <w:r>
        <w:t xml:space="preserve"> </w:t>
      </w:r>
      <w:r>
        <w:t xml:space="preserve">The text says the tribes</w:t>
      </w:r>
      <w:r>
        <w:t xml:space="preserve"> </w:t>
      </w:r>
      <w:r>
        <w:t xml:space="preserve">“whored after the gods of the peoples of the land.”</w:t>
      </w:r>
      <w:r>
        <w:t xml:space="preserve"> </w:t>
      </w:r>
      <w:r>
        <w:t xml:space="preserve">A preacher who leaves this as an abstraction —</w:t>
      </w:r>
      <w:r>
        <w:t xml:space="preserve"> </w:t>
      </w:r>
      <w:r>
        <w:t xml:space="preserve">“we’re tempted by idolatry too”</w:t>
      </w:r>
      <w:r>
        <w:t xml:space="preserve"> </w:t>
      </w:r>
      <w:r>
        <w:t xml:space="preserve">— has failed the congregation. The pitfall is generality. The application must name the gods: security, comfort, approval, sexual expression, financial accumulation, political identity. The passage is designed to produce self-examination, and self-examination requires enough specificity to actually land.</w:t>
      </w:r>
    </w:p>
    <w:p>
      <w:pPr>
        <w:numPr>
          <w:ilvl w:val="0"/>
          <w:numId w:val="1002"/>
        </w:numPr>
      </w:pPr>
      <w:r>
        <w:rPr>
          <w:b/>
          <w:bCs/>
        </w:rPr>
        <w:t xml:space="preserve">Preaching this chapter without connecting the exile to the return and to Christ.</w:t>
      </w:r>
      <w:r>
        <w:t xml:space="preserve"> </w:t>
      </w:r>
      <w:r>
        <w:t xml:space="preserve">The Chronicler’s audience was post-exilic — they had come back. The warning against repeating the pattern that caused the exile was for people who had experienced restoration after judgment. A preacher who closes with only the exile, without pointing to the covenant faithfulness of God that brought return and ultimately to the one in whom all covenant promises are yes and amen (2 Corinthians 1:20), has left the congregation in the darkness of judgment without the light of gospel hope. The severity must be preached; the mercy that follows severity must also be preached.</w:t>
      </w:r>
    </w:p>
    <w:p>
      <w:r>
        <w:pict>
          <v:rect style="width:0;height:1.5pt" o:hralign="center" o:hrstd="t" o:hr="t"/>
        </w:pict>
      </w:r>
    </w:p>
    <w:p>
      <w:pPr>
        <w:pStyle w:val="FirstParagraph"/>
      </w:pPr>
      <w:r>
        <w:rPr>
          <w:i/>
          <w:iCs/>
        </w:rPr>
        <w:t xml:space="preserve">Document: 13 1Chronicles 05.docx</w:t>
      </w:r>
      <w:r>
        <w:t xml:space="preserve"> </w:t>
      </w:r>
      <w:r>
        <w:rPr>
          <w:i/>
          <w:iCs/>
        </w:rPr>
        <w:t xml:space="preserve">Framework: CLAUDE2.md — Bullmore Primary Claim / Reformed Homiletical Framework</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2026-07-14T21:03:13Z</dcterms:created>
  <dcterms:modified xsi:type="dcterms:W3CDTF">2026-07-14T21:03:13Z</dcterms:modified>
</cp:coreProperties>
</file>

<file path=docProps/custom.xml><?xml version="1.0" encoding="utf-8"?>
<Properties xmlns="http://schemas.openxmlformats.org/officeDocument/2006/custom-properties" xmlns:vt="http://schemas.openxmlformats.org/officeDocument/2006/docPropsVTypes"/>
</file>